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0EFBF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hint="eastAsia" w:ascii="宋体" w:hAnsi="宋体"/>
          <w:b/>
          <w:position w:val="-1"/>
          <w:lang w:eastAsia="zh-CN"/>
        </w:rPr>
        <w:t>、</w:t>
      </w:r>
      <w:r>
        <w:rPr>
          <w:rFonts w:hint="eastAsia" w:ascii="宋体" w:hAnsi="宋体"/>
          <w:b/>
          <w:position w:val="-1"/>
          <w:lang w:val="en-US" w:eastAsia="zh-CN"/>
        </w:rPr>
        <w:t>无组织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559A68D2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13944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31F57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6D8006A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C3122A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1EA648A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748A6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05E36C8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2024.9.5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05496BF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16F801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AAAF325">
            <w:pPr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闫俊、秦帅鹏、侯钞方、王星、许文娟等</w:t>
            </w:r>
            <w:bookmarkStart w:id="8" w:name="_GoBack"/>
            <w:bookmarkEnd w:id="8"/>
          </w:p>
        </w:tc>
      </w:tr>
      <w:bookmarkEnd w:id="0"/>
      <w:bookmarkEnd w:id="1"/>
      <w:tr w14:paraId="56A3F3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DA1701E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70A369DE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8AD3E3A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333E9B63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CCE503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3B84C37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0882D9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34DF251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51F0ECA7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4"/>
            <w:bookmarkStart w:id="6" w:name="OLE_LINK5"/>
            <w:bookmarkStart w:id="7" w:name="OLE_LINK3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824BB40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02594EE5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B8770FF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3A1E45E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30F7AF4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610F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0F5098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417D7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1980</w:t>
            </w:r>
          </w:p>
        </w:tc>
        <w:tc>
          <w:tcPr>
            <w:tcW w:w="12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45CFED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68F3D24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颗粒物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6B461F4">
            <w:pPr>
              <w:ind w:firstLine="360" w:firstLineChars="200"/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2.2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8ED553">
            <w:pPr>
              <w:ind w:firstLine="720" w:firstLineChars="400"/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D2E6592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固定污染源排气中颗粒物测定与气态污染物采样方法 GB/T 16157-1996及修改单  固定污染源废气低浓度颗粒物的测定  重量法 HJ836-2017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868D0E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D3C8BB0">
            <w:pPr>
              <w:jc w:val="center"/>
              <w:rPr>
                <w:sz w:val="18"/>
                <w:szCs w:val="18"/>
              </w:rPr>
            </w:pPr>
          </w:p>
        </w:tc>
      </w:tr>
      <w:tr w14:paraId="45408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31DD696">
            <w:pPr>
              <w:jc w:val="center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8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ACDFB01">
            <w:pPr>
              <w:jc w:val="center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2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582C0A">
            <w:pPr>
              <w:jc w:val="center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401753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二氧化硫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C851FC7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514578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D2F1EE1">
            <w:pPr>
              <w:spacing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固定污染源废气  二氧化硫的测定 便携式紫外吸收法HJ  1131-2020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0BB6D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A4D7310">
            <w:pPr>
              <w:jc w:val="center"/>
              <w:rPr>
                <w:sz w:val="18"/>
                <w:szCs w:val="18"/>
              </w:rPr>
            </w:pPr>
          </w:p>
        </w:tc>
      </w:tr>
    </w:tbl>
    <w:p w14:paraId="01573F17"/>
    <w:p w14:paraId="2888869C">
      <w:pPr>
        <w:pStyle w:val="2"/>
      </w:pPr>
    </w:p>
    <w:tbl>
      <w:tblPr>
        <w:tblStyle w:val="5"/>
        <w:tblW w:w="130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3081"/>
        <w:gridCol w:w="1200"/>
        <w:gridCol w:w="1712"/>
        <w:gridCol w:w="4309"/>
        <w:gridCol w:w="662"/>
        <w:gridCol w:w="926"/>
      </w:tblGrid>
      <w:tr w14:paraId="3ED97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13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2F14162E"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  <w:p w14:paraId="265FCDF3"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  <w:p w14:paraId="04E90327"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  <w:p w14:paraId="54D125AC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</w:t>
            </w:r>
          </w:p>
        </w:tc>
        <w:tc>
          <w:tcPr>
            <w:tcW w:w="308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top"/>
          </w:tcPr>
          <w:p w14:paraId="1CA5B500">
            <w:pPr>
              <w:jc w:val="both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12191B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D53335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烟气黑度（级）</w:t>
            </w:r>
          </w:p>
        </w:tc>
        <w:tc>
          <w:tcPr>
            <w:tcW w:w="4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3D2F6D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52668DF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750D61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6FE6F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1113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4FF2F80E">
            <w:pPr>
              <w:jc w:val="both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081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 w14:paraId="5B8C6B2E">
            <w:pPr>
              <w:jc w:val="both"/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7B459B4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烟气黑度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F05BD62"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＜1</w:t>
            </w:r>
          </w:p>
        </w:tc>
        <w:tc>
          <w:tcPr>
            <w:tcW w:w="4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3B22E2F"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固定污染源排放  烟气黑度的测定 林格曼烟气黑度图法HJ/T 398-2007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70522EC">
            <w:pPr>
              <w:jc w:val="center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否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17B4385">
            <w:pPr>
              <w:jc w:val="center"/>
              <w:rPr>
                <w:sz w:val="18"/>
                <w:szCs w:val="18"/>
              </w:rPr>
            </w:pPr>
          </w:p>
        </w:tc>
      </w:tr>
      <w:bookmarkEnd w:id="2"/>
      <w:bookmarkEnd w:id="3"/>
    </w:tbl>
    <w:p w14:paraId="522BFDDC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354"/>
        <w:gridCol w:w="1354"/>
        <w:gridCol w:w="1354"/>
        <w:gridCol w:w="1354"/>
        <w:gridCol w:w="2348"/>
        <w:gridCol w:w="1475"/>
        <w:gridCol w:w="1725"/>
      </w:tblGrid>
      <w:tr w14:paraId="3DEB1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Align w:val="center"/>
          </w:tcPr>
          <w:p w14:paraId="14BA0819">
            <w:pPr>
              <w:pStyle w:val="2"/>
              <w:widowControl w:val="0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排放口编号</w:t>
            </w:r>
          </w:p>
        </w:tc>
        <w:tc>
          <w:tcPr>
            <w:tcW w:w="1354" w:type="dxa"/>
            <w:vAlign w:val="center"/>
          </w:tcPr>
          <w:p w14:paraId="0B786AAE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排气流量（m³/h）</w:t>
            </w:r>
          </w:p>
        </w:tc>
        <w:tc>
          <w:tcPr>
            <w:tcW w:w="1354" w:type="dxa"/>
            <w:vAlign w:val="center"/>
          </w:tcPr>
          <w:p w14:paraId="2CDEFB10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污染因子</w:t>
            </w:r>
          </w:p>
        </w:tc>
        <w:tc>
          <w:tcPr>
            <w:tcW w:w="1354" w:type="dxa"/>
            <w:vAlign w:val="center"/>
          </w:tcPr>
          <w:p w14:paraId="5AF9C360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监测浓度</w:t>
            </w:r>
          </w:p>
        </w:tc>
        <w:tc>
          <w:tcPr>
            <w:tcW w:w="1354" w:type="dxa"/>
            <w:vAlign w:val="center"/>
          </w:tcPr>
          <w:p w14:paraId="13A5A1BE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许可排放限值</w:t>
            </w:r>
          </w:p>
        </w:tc>
        <w:tc>
          <w:tcPr>
            <w:tcW w:w="2348" w:type="dxa"/>
            <w:vAlign w:val="center"/>
          </w:tcPr>
          <w:p w14:paraId="6EB65CA5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检测方法</w:t>
            </w:r>
          </w:p>
        </w:tc>
        <w:tc>
          <w:tcPr>
            <w:tcW w:w="1475" w:type="dxa"/>
            <w:vAlign w:val="center"/>
          </w:tcPr>
          <w:p w14:paraId="51667092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是否超标</w:t>
            </w:r>
          </w:p>
        </w:tc>
        <w:tc>
          <w:tcPr>
            <w:tcW w:w="1725" w:type="dxa"/>
            <w:vAlign w:val="center"/>
          </w:tcPr>
          <w:p w14:paraId="4C0923C9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备注</w:t>
            </w:r>
          </w:p>
        </w:tc>
      </w:tr>
      <w:tr w14:paraId="077A2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Merge w:val="restart"/>
            <w:vAlign w:val="center"/>
          </w:tcPr>
          <w:p w14:paraId="5E25CAF2">
            <w:pPr>
              <w:pStyle w:val="2"/>
              <w:widowControl w:val="0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污水处理站废气排放口</w:t>
            </w:r>
          </w:p>
        </w:tc>
        <w:tc>
          <w:tcPr>
            <w:tcW w:w="1354" w:type="dxa"/>
            <w:vMerge w:val="restart"/>
            <w:vAlign w:val="center"/>
          </w:tcPr>
          <w:p w14:paraId="54463CD4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6350</w:t>
            </w:r>
          </w:p>
        </w:tc>
        <w:tc>
          <w:tcPr>
            <w:tcW w:w="1354" w:type="dxa"/>
            <w:vAlign w:val="center"/>
          </w:tcPr>
          <w:p w14:paraId="205292BB">
            <w:pPr>
              <w:pStyle w:val="2"/>
              <w:widowControl w:val="0"/>
              <w:jc w:val="center"/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非甲烷总烃（mg/m³）</w:t>
            </w:r>
          </w:p>
        </w:tc>
        <w:tc>
          <w:tcPr>
            <w:tcW w:w="1354" w:type="dxa"/>
            <w:vAlign w:val="center"/>
          </w:tcPr>
          <w:p w14:paraId="18E748DD">
            <w:pPr>
              <w:pStyle w:val="2"/>
              <w:widowControl w:val="0"/>
              <w:jc w:val="center"/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7.57</w:t>
            </w:r>
          </w:p>
        </w:tc>
        <w:tc>
          <w:tcPr>
            <w:tcW w:w="1354" w:type="dxa"/>
            <w:vAlign w:val="center"/>
          </w:tcPr>
          <w:p w14:paraId="41F88E0C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80</w:t>
            </w:r>
          </w:p>
        </w:tc>
        <w:tc>
          <w:tcPr>
            <w:tcW w:w="2348" w:type="dxa"/>
            <w:vAlign w:val="center"/>
          </w:tcPr>
          <w:p w14:paraId="557E6BFC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固定污染源废气  总烃、甲烷和非甲烷总烃的测定  气相色谱法  HJ38-2017</w:t>
            </w:r>
          </w:p>
        </w:tc>
        <w:tc>
          <w:tcPr>
            <w:tcW w:w="1475" w:type="dxa"/>
            <w:vAlign w:val="center"/>
          </w:tcPr>
          <w:p w14:paraId="3407DCD5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否</w:t>
            </w:r>
          </w:p>
        </w:tc>
        <w:tc>
          <w:tcPr>
            <w:tcW w:w="1725" w:type="dxa"/>
          </w:tcPr>
          <w:p w14:paraId="7339A942">
            <w:pPr>
              <w:pStyle w:val="2"/>
              <w:widowControl w:val="0"/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7580A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Merge w:val="continue"/>
          </w:tcPr>
          <w:p w14:paraId="3C5FFE35">
            <w:pPr>
              <w:pStyle w:val="2"/>
              <w:widowControl w:val="0"/>
              <w:rPr>
                <w:vertAlign w:val="baseline"/>
              </w:rPr>
            </w:pPr>
          </w:p>
        </w:tc>
        <w:tc>
          <w:tcPr>
            <w:tcW w:w="1354" w:type="dxa"/>
            <w:vMerge w:val="continue"/>
            <w:vAlign w:val="center"/>
          </w:tcPr>
          <w:p w14:paraId="76BC2431">
            <w:pPr>
              <w:pStyle w:val="2"/>
              <w:widowControl w:val="0"/>
              <w:jc w:val="left"/>
              <w:rPr>
                <w:vertAlign w:val="baseline"/>
              </w:rPr>
            </w:pPr>
          </w:p>
        </w:tc>
        <w:tc>
          <w:tcPr>
            <w:tcW w:w="1354" w:type="dxa"/>
            <w:vAlign w:val="center"/>
          </w:tcPr>
          <w:p w14:paraId="52C274F7">
            <w:pPr>
              <w:pStyle w:val="2"/>
              <w:widowControl w:val="0"/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硫化氢</w:t>
            </w: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（kg/h）</w:t>
            </w:r>
          </w:p>
        </w:tc>
        <w:tc>
          <w:tcPr>
            <w:tcW w:w="1354" w:type="dxa"/>
            <w:vAlign w:val="center"/>
          </w:tcPr>
          <w:p w14:paraId="30D032B9">
            <w:pPr>
              <w:pStyle w:val="2"/>
              <w:widowControl w:val="0"/>
              <w:jc w:val="center"/>
              <w:rPr>
                <w:vertAlign w:val="baseline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0.0014</w:t>
            </w:r>
          </w:p>
        </w:tc>
        <w:tc>
          <w:tcPr>
            <w:tcW w:w="1354" w:type="dxa"/>
            <w:vAlign w:val="center"/>
          </w:tcPr>
          <w:p w14:paraId="3791E6BE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0.94</w:t>
            </w:r>
          </w:p>
        </w:tc>
        <w:tc>
          <w:tcPr>
            <w:tcW w:w="2348" w:type="dxa"/>
            <w:vAlign w:val="center"/>
          </w:tcPr>
          <w:p w14:paraId="2F55FC47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 xml:space="preserve">污染源废气 硫化氢 亚甲基蓝分光光度法  </w:t>
            </w:r>
          </w:p>
        </w:tc>
        <w:tc>
          <w:tcPr>
            <w:tcW w:w="1475" w:type="dxa"/>
            <w:vAlign w:val="center"/>
          </w:tcPr>
          <w:p w14:paraId="6BC6E0AC">
            <w:pPr>
              <w:pStyle w:val="2"/>
              <w:widowControl w:val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否</w:t>
            </w:r>
          </w:p>
        </w:tc>
        <w:tc>
          <w:tcPr>
            <w:tcW w:w="1725" w:type="dxa"/>
          </w:tcPr>
          <w:p w14:paraId="3702997D">
            <w:pPr>
              <w:pStyle w:val="2"/>
              <w:widowControl w:val="0"/>
              <w:rPr>
                <w:vertAlign w:val="baseline"/>
              </w:rPr>
            </w:pPr>
          </w:p>
        </w:tc>
      </w:tr>
      <w:tr w14:paraId="73FD6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Merge w:val="continue"/>
          </w:tcPr>
          <w:p w14:paraId="03BDB17E">
            <w:pPr>
              <w:pStyle w:val="2"/>
              <w:widowControl w:val="0"/>
              <w:rPr>
                <w:vertAlign w:val="baseline"/>
              </w:rPr>
            </w:pPr>
          </w:p>
        </w:tc>
        <w:tc>
          <w:tcPr>
            <w:tcW w:w="1354" w:type="dxa"/>
            <w:vMerge w:val="continue"/>
            <w:vAlign w:val="center"/>
          </w:tcPr>
          <w:p w14:paraId="1066EC60">
            <w:pPr>
              <w:pStyle w:val="2"/>
              <w:widowControl w:val="0"/>
              <w:jc w:val="left"/>
              <w:rPr>
                <w:vertAlign w:val="baseline"/>
              </w:rPr>
            </w:pPr>
          </w:p>
        </w:tc>
        <w:tc>
          <w:tcPr>
            <w:tcW w:w="1354" w:type="dxa"/>
            <w:vAlign w:val="center"/>
          </w:tcPr>
          <w:p w14:paraId="3D6CE512">
            <w:pPr>
              <w:pStyle w:val="2"/>
              <w:widowControl w:val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氨</w:t>
            </w: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（kg/h)</w:t>
            </w:r>
          </w:p>
        </w:tc>
        <w:tc>
          <w:tcPr>
            <w:tcW w:w="1354" w:type="dxa"/>
            <w:vAlign w:val="center"/>
          </w:tcPr>
          <w:p w14:paraId="6164C55E">
            <w:pPr>
              <w:pStyle w:val="2"/>
              <w:widowControl w:val="0"/>
              <w:jc w:val="center"/>
              <w:rPr>
                <w:vertAlign w:val="baseline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0.044</w:t>
            </w:r>
          </w:p>
        </w:tc>
        <w:tc>
          <w:tcPr>
            <w:tcW w:w="1354" w:type="dxa"/>
            <w:vAlign w:val="center"/>
          </w:tcPr>
          <w:p w14:paraId="4FA253B3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14</w:t>
            </w:r>
          </w:p>
        </w:tc>
        <w:tc>
          <w:tcPr>
            <w:tcW w:w="2348" w:type="dxa"/>
            <w:vAlign w:val="center"/>
          </w:tcPr>
          <w:p w14:paraId="410F36C3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环境空气和废气 氨的测定  纳氏试剂分光光度法 HJ533-2009</w:t>
            </w:r>
          </w:p>
        </w:tc>
        <w:tc>
          <w:tcPr>
            <w:tcW w:w="1475" w:type="dxa"/>
            <w:vAlign w:val="center"/>
          </w:tcPr>
          <w:p w14:paraId="12ADDB79">
            <w:pPr>
              <w:pStyle w:val="2"/>
              <w:widowControl w:val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否</w:t>
            </w:r>
          </w:p>
        </w:tc>
        <w:tc>
          <w:tcPr>
            <w:tcW w:w="1725" w:type="dxa"/>
          </w:tcPr>
          <w:p w14:paraId="4EB47C3C">
            <w:pPr>
              <w:pStyle w:val="2"/>
              <w:widowControl w:val="0"/>
              <w:rPr>
                <w:vertAlign w:val="baseline"/>
              </w:rPr>
            </w:pPr>
          </w:p>
        </w:tc>
      </w:tr>
      <w:tr w14:paraId="563AF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vMerge w:val="continue"/>
          </w:tcPr>
          <w:p w14:paraId="7D46AEBC">
            <w:pPr>
              <w:pStyle w:val="2"/>
              <w:widowControl w:val="0"/>
              <w:rPr>
                <w:vertAlign w:val="baseline"/>
              </w:rPr>
            </w:pPr>
          </w:p>
        </w:tc>
        <w:tc>
          <w:tcPr>
            <w:tcW w:w="1354" w:type="dxa"/>
            <w:vMerge w:val="continue"/>
            <w:vAlign w:val="center"/>
          </w:tcPr>
          <w:p w14:paraId="4A66A995">
            <w:pPr>
              <w:pStyle w:val="2"/>
              <w:widowControl w:val="0"/>
              <w:jc w:val="left"/>
              <w:rPr>
                <w:vertAlign w:val="baseline"/>
              </w:rPr>
            </w:pPr>
          </w:p>
        </w:tc>
        <w:tc>
          <w:tcPr>
            <w:tcW w:w="1354" w:type="dxa"/>
            <w:vAlign w:val="center"/>
          </w:tcPr>
          <w:p w14:paraId="738EB096">
            <w:pPr>
              <w:pStyle w:val="2"/>
              <w:widowControl w:val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臭气浓度（无量纲）</w:t>
            </w:r>
          </w:p>
        </w:tc>
        <w:tc>
          <w:tcPr>
            <w:tcW w:w="1354" w:type="dxa"/>
            <w:vAlign w:val="center"/>
          </w:tcPr>
          <w:p w14:paraId="5ABD216C">
            <w:pPr>
              <w:pStyle w:val="2"/>
              <w:widowControl w:val="0"/>
              <w:jc w:val="center"/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977</w:t>
            </w:r>
          </w:p>
        </w:tc>
        <w:tc>
          <w:tcPr>
            <w:tcW w:w="1354" w:type="dxa"/>
            <w:vAlign w:val="center"/>
          </w:tcPr>
          <w:p w14:paraId="5916051C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6000</w:t>
            </w:r>
          </w:p>
        </w:tc>
        <w:tc>
          <w:tcPr>
            <w:tcW w:w="2348" w:type="dxa"/>
            <w:vAlign w:val="center"/>
          </w:tcPr>
          <w:p w14:paraId="151C3182">
            <w:pPr>
              <w:pStyle w:val="2"/>
              <w:widowControl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环境空气和废气 臭气的测定 三点比较式臭袋法   HJ 1262-2022</w:t>
            </w:r>
          </w:p>
        </w:tc>
        <w:tc>
          <w:tcPr>
            <w:tcW w:w="1475" w:type="dxa"/>
            <w:vAlign w:val="center"/>
          </w:tcPr>
          <w:p w14:paraId="433051BE">
            <w:pPr>
              <w:pStyle w:val="2"/>
              <w:widowControl w:val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否</w:t>
            </w:r>
          </w:p>
        </w:tc>
        <w:tc>
          <w:tcPr>
            <w:tcW w:w="1725" w:type="dxa"/>
          </w:tcPr>
          <w:p w14:paraId="47FB94F9">
            <w:pPr>
              <w:pStyle w:val="2"/>
              <w:widowControl w:val="0"/>
              <w:rPr>
                <w:vertAlign w:val="baseline"/>
              </w:rPr>
            </w:pPr>
          </w:p>
        </w:tc>
      </w:tr>
    </w:tbl>
    <w:p w14:paraId="268C7E19">
      <w:pPr>
        <w:pStyle w:val="2"/>
      </w:pPr>
    </w:p>
    <w:p w14:paraId="643A5D06"/>
    <w:p w14:paraId="15FDFFDA">
      <w:pPr>
        <w:pStyle w:val="2"/>
      </w:pPr>
    </w:p>
    <w:p w14:paraId="08850A28"/>
    <w:p w14:paraId="7D1C7600">
      <w:pPr>
        <w:pStyle w:val="2"/>
      </w:pPr>
    </w:p>
    <w:tbl>
      <w:tblPr>
        <w:tblStyle w:val="5"/>
        <w:tblpPr w:leftFromText="180" w:rightFromText="180" w:vertAnchor="text" w:horzAnchor="page" w:tblpX="849" w:tblpY="290"/>
        <w:tblOverlap w:val="never"/>
        <w:tblW w:w="156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201"/>
        <w:gridCol w:w="1312"/>
        <w:gridCol w:w="1204"/>
        <w:gridCol w:w="1204"/>
        <w:gridCol w:w="1204"/>
        <w:gridCol w:w="1204"/>
        <w:gridCol w:w="1205"/>
        <w:gridCol w:w="2545"/>
        <w:gridCol w:w="1784"/>
        <w:gridCol w:w="1680"/>
      </w:tblGrid>
      <w:tr w14:paraId="66D3C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1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BD7A66F">
            <w:pPr>
              <w:jc w:val="both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EA2D990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监测点位</w:t>
            </w:r>
          </w:p>
        </w:tc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8F7EA25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非甲烷总烃（以碳计）（mg/m³）</w:t>
            </w:r>
          </w:p>
        </w:tc>
        <w:tc>
          <w:tcPr>
            <w:tcW w:w="1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7C536F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气温（℃）</w:t>
            </w:r>
          </w:p>
        </w:tc>
        <w:tc>
          <w:tcPr>
            <w:tcW w:w="1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57598C6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气压（kpa）</w:t>
            </w:r>
          </w:p>
        </w:tc>
        <w:tc>
          <w:tcPr>
            <w:tcW w:w="1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5ADFE2E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val="en-US" w:eastAsia="zh-CN"/>
              </w:rPr>
              <w:t>风向风速（m/s）</w:t>
            </w:r>
          </w:p>
        </w:tc>
        <w:tc>
          <w:tcPr>
            <w:tcW w:w="12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10A6C2D">
            <w:pPr>
              <w:jc w:val="both"/>
              <w:rPr>
                <w:rFonts w:hint="default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湿度（%）</w:t>
            </w:r>
          </w:p>
        </w:tc>
        <w:tc>
          <w:tcPr>
            <w:tcW w:w="12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75B101A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215E6EF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E1F0B2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2DEC4FE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7A49A1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156F1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1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21B2CA80"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无组织废气</w:t>
            </w: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B0DA93C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厂界上风向</w:t>
            </w:r>
          </w:p>
        </w:tc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7895ED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0.65</w:t>
            </w:r>
          </w:p>
        </w:tc>
        <w:tc>
          <w:tcPr>
            <w:tcW w:w="120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63D6D2AD">
            <w:pPr>
              <w:ind w:firstLine="180" w:firstLineChars="100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30.5-31.4</w:t>
            </w:r>
          </w:p>
        </w:tc>
        <w:tc>
          <w:tcPr>
            <w:tcW w:w="120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48521636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100.3-100.4</w:t>
            </w:r>
          </w:p>
        </w:tc>
        <w:tc>
          <w:tcPr>
            <w:tcW w:w="120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0BD67A3A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20"/>
                <w:lang w:val="en-US" w:eastAsia="zh-CN" w:bidi="ar-SA"/>
              </w:rPr>
              <w:t>NW1.7-1.8</w:t>
            </w:r>
          </w:p>
        </w:tc>
        <w:tc>
          <w:tcPr>
            <w:tcW w:w="120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5085888B">
            <w:pPr>
              <w:ind w:firstLine="180" w:firstLineChars="100"/>
              <w:jc w:val="both"/>
              <w:rPr>
                <w:rFonts w:hint="default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20"/>
                <w:lang w:val="en-US" w:eastAsia="zh-CN" w:bidi="ar-SA"/>
              </w:rPr>
              <w:t>51-54</w:t>
            </w:r>
          </w:p>
        </w:tc>
        <w:tc>
          <w:tcPr>
            <w:tcW w:w="1205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 w14:paraId="6E3E966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20"/>
                <w:lang w:val="en-US" w:eastAsia="zh-CN" w:bidi="ar-SA"/>
              </w:rPr>
              <w:t>4.0</w:t>
            </w:r>
          </w:p>
        </w:tc>
        <w:tc>
          <w:tcPr>
            <w:tcW w:w="25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98D8D51"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eastAsia="zh-CN"/>
              </w:rPr>
              <w:t>环境空气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 xml:space="preserve"> 总烃、甲烷、非甲烷总烃的测定 直接进样-气相色谱法</w:t>
            </w:r>
            <w:r>
              <w:rPr>
                <w:rFonts w:hint="eastAsia" w:cs="Times New Roman"/>
                <w:b w:val="0"/>
                <w:bCs/>
                <w:i w:val="0"/>
                <w:caps w:val="0"/>
                <w:color w:val="auto"/>
                <w:spacing w:val="0"/>
                <w:sz w:val="21"/>
                <w:szCs w:val="21"/>
                <w:shd w:val="clear" w:color="auto" w:fill="auto"/>
                <w:lang w:val="en-US" w:eastAsia="zh-CN"/>
              </w:rPr>
              <w:t xml:space="preserve"> HJ604-2017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3461752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1773CC3">
            <w:pPr>
              <w:jc w:val="center"/>
              <w:rPr>
                <w:sz w:val="18"/>
                <w:szCs w:val="18"/>
              </w:rPr>
            </w:pPr>
          </w:p>
        </w:tc>
      </w:tr>
      <w:tr w14:paraId="6E0515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1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3459A3BB"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F34C3D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厂界下风向1</w:t>
            </w:r>
          </w:p>
        </w:tc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8C43E3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0.88</w:t>
            </w:r>
          </w:p>
        </w:tc>
        <w:tc>
          <w:tcPr>
            <w:tcW w:w="12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70624E27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CF9BFCB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32B74F55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12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1352F165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44345B5">
            <w:pPr>
              <w:jc w:val="both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2545" w:type="dxa"/>
            <w:vMerge w:val="continue"/>
            <w:tcBorders>
              <w:left w:val="single" w:color="000000" w:sz="4" w:space="0"/>
              <w:right w:val="single" w:color="000000" w:sz="6" w:space="0"/>
              <w:tl2br w:val="nil"/>
              <w:tr2bl w:val="nil"/>
            </w:tcBorders>
            <w:vAlign w:val="top"/>
          </w:tcPr>
          <w:p w14:paraId="190D396F">
            <w:pPr>
              <w:rPr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2A1511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E8DC426">
            <w:pPr>
              <w:jc w:val="center"/>
              <w:rPr>
                <w:sz w:val="18"/>
                <w:szCs w:val="18"/>
              </w:rPr>
            </w:pPr>
          </w:p>
        </w:tc>
      </w:tr>
      <w:tr w14:paraId="53286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1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223EB08E"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8D5FD42">
            <w:pPr>
              <w:jc w:val="center"/>
              <w:rPr>
                <w:rFonts w:hint="default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厂界下风向2</w:t>
            </w:r>
          </w:p>
        </w:tc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2A20026">
            <w:pPr>
              <w:jc w:val="center"/>
              <w:rPr>
                <w:rFonts w:hint="default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1.25</w:t>
            </w:r>
          </w:p>
        </w:tc>
        <w:tc>
          <w:tcPr>
            <w:tcW w:w="12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40AA5CE3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7A45E937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5EB52944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120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464855B8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vAlign w:val="center"/>
          </w:tcPr>
          <w:p w14:paraId="60971022">
            <w:pPr>
              <w:jc w:val="both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2545" w:type="dxa"/>
            <w:vMerge w:val="continue"/>
            <w:tcBorders>
              <w:left w:val="single" w:color="000000" w:sz="4" w:space="0"/>
              <w:right w:val="single" w:color="000000" w:sz="6" w:space="0"/>
              <w:tl2br w:val="nil"/>
              <w:tr2bl w:val="nil"/>
            </w:tcBorders>
            <w:vAlign w:val="top"/>
          </w:tcPr>
          <w:p w14:paraId="61AD2764">
            <w:pPr>
              <w:rPr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6A177F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64572D56">
            <w:pPr>
              <w:jc w:val="center"/>
              <w:rPr>
                <w:sz w:val="18"/>
                <w:szCs w:val="18"/>
              </w:rPr>
            </w:pPr>
          </w:p>
        </w:tc>
      </w:tr>
      <w:tr w14:paraId="2A9CC5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1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0C8FCC9"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5F23B07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厂界下风向3</w:t>
            </w:r>
          </w:p>
        </w:tc>
        <w:tc>
          <w:tcPr>
            <w:tcW w:w="13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9B91181">
            <w:pPr>
              <w:ind w:firstLine="360" w:firstLineChars="200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0.99</w:t>
            </w:r>
          </w:p>
        </w:tc>
        <w:tc>
          <w:tcPr>
            <w:tcW w:w="120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EC20773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0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552CCE9">
            <w:pPr>
              <w:spacing w:line="240" w:lineRule="auto"/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0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983F4C4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120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25DF16C">
            <w:pPr>
              <w:jc w:val="both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1205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34F3E3F">
            <w:pPr>
              <w:jc w:val="both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25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top"/>
          </w:tcPr>
          <w:p w14:paraId="3B05FDBE">
            <w:pPr>
              <w:rPr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3614DE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19CEB01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F67280D"/>
    <w:p w14:paraId="551A0F39">
      <w:pPr>
        <w:jc w:val="center"/>
      </w:pPr>
    </w:p>
    <w:p w14:paraId="5071DB1A">
      <w:pPr>
        <w:pStyle w:val="2"/>
      </w:pPr>
    </w:p>
    <w:p w14:paraId="3797D561">
      <w:pPr>
        <w:pStyle w:val="2"/>
      </w:pPr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F76F90"/>
    <w:rsid w:val="047F2D99"/>
    <w:rsid w:val="04CA7434"/>
    <w:rsid w:val="04DC7F02"/>
    <w:rsid w:val="06D51397"/>
    <w:rsid w:val="08E9086B"/>
    <w:rsid w:val="09AA6B0A"/>
    <w:rsid w:val="0A951569"/>
    <w:rsid w:val="0C601702"/>
    <w:rsid w:val="0D642B15"/>
    <w:rsid w:val="0E9C0543"/>
    <w:rsid w:val="0EE505E5"/>
    <w:rsid w:val="0F0A0DA1"/>
    <w:rsid w:val="0F2205BA"/>
    <w:rsid w:val="0F77518B"/>
    <w:rsid w:val="107004B0"/>
    <w:rsid w:val="112A6783"/>
    <w:rsid w:val="1211524D"/>
    <w:rsid w:val="121F796A"/>
    <w:rsid w:val="12641453"/>
    <w:rsid w:val="15C30386"/>
    <w:rsid w:val="166444E5"/>
    <w:rsid w:val="16E96798"/>
    <w:rsid w:val="16EB29C9"/>
    <w:rsid w:val="1740460A"/>
    <w:rsid w:val="184A3267"/>
    <w:rsid w:val="187D2EBF"/>
    <w:rsid w:val="19D61256"/>
    <w:rsid w:val="1BF3590A"/>
    <w:rsid w:val="1CB17D58"/>
    <w:rsid w:val="1D4666F2"/>
    <w:rsid w:val="1DE03896"/>
    <w:rsid w:val="1F756BD0"/>
    <w:rsid w:val="23503E27"/>
    <w:rsid w:val="254E5F1C"/>
    <w:rsid w:val="26724B7D"/>
    <w:rsid w:val="27A40BE5"/>
    <w:rsid w:val="28A64827"/>
    <w:rsid w:val="2912392D"/>
    <w:rsid w:val="2AF05EF0"/>
    <w:rsid w:val="2D5F2B76"/>
    <w:rsid w:val="2E4B3B69"/>
    <w:rsid w:val="2FB8241F"/>
    <w:rsid w:val="30823A8E"/>
    <w:rsid w:val="312419D9"/>
    <w:rsid w:val="333448BD"/>
    <w:rsid w:val="33D71A06"/>
    <w:rsid w:val="340B78F6"/>
    <w:rsid w:val="36743E79"/>
    <w:rsid w:val="369260B6"/>
    <w:rsid w:val="372E4027"/>
    <w:rsid w:val="37870F77"/>
    <w:rsid w:val="387E2D8D"/>
    <w:rsid w:val="39BA2F22"/>
    <w:rsid w:val="39DC5FBD"/>
    <w:rsid w:val="3A4D0C68"/>
    <w:rsid w:val="3AFE1F63"/>
    <w:rsid w:val="3B36794F"/>
    <w:rsid w:val="3BC972F8"/>
    <w:rsid w:val="3C9C1A33"/>
    <w:rsid w:val="3D0870C9"/>
    <w:rsid w:val="3D1444FA"/>
    <w:rsid w:val="3D532A3A"/>
    <w:rsid w:val="3F373C95"/>
    <w:rsid w:val="3F650802"/>
    <w:rsid w:val="3F8327EE"/>
    <w:rsid w:val="3FB22A00"/>
    <w:rsid w:val="3FD84381"/>
    <w:rsid w:val="4105404B"/>
    <w:rsid w:val="412D35A2"/>
    <w:rsid w:val="41B94E35"/>
    <w:rsid w:val="42925DB2"/>
    <w:rsid w:val="436F1C50"/>
    <w:rsid w:val="43C31F9B"/>
    <w:rsid w:val="43FE4C25"/>
    <w:rsid w:val="457E261E"/>
    <w:rsid w:val="46A41C10"/>
    <w:rsid w:val="46DF533E"/>
    <w:rsid w:val="49647D7D"/>
    <w:rsid w:val="49ED38CE"/>
    <w:rsid w:val="49FD1764"/>
    <w:rsid w:val="4C787DC7"/>
    <w:rsid w:val="4FDD43E5"/>
    <w:rsid w:val="50811214"/>
    <w:rsid w:val="50940D64"/>
    <w:rsid w:val="50F978D6"/>
    <w:rsid w:val="514F4E6E"/>
    <w:rsid w:val="52B50C5A"/>
    <w:rsid w:val="538057B3"/>
    <w:rsid w:val="54297BF9"/>
    <w:rsid w:val="547A0454"/>
    <w:rsid w:val="54D062C6"/>
    <w:rsid w:val="55A47BEE"/>
    <w:rsid w:val="55C7591B"/>
    <w:rsid w:val="5707672E"/>
    <w:rsid w:val="5748483A"/>
    <w:rsid w:val="576D24F2"/>
    <w:rsid w:val="5B0311A3"/>
    <w:rsid w:val="5B1A473F"/>
    <w:rsid w:val="5B5F000B"/>
    <w:rsid w:val="5B905EF9"/>
    <w:rsid w:val="5C3E3E6E"/>
    <w:rsid w:val="5E4C10B3"/>
    <w:rsid w:val="5EAF519E"/>
    <w:rsid w:val="5ED22A3C"/>
    <w:rsid w:val="5F15097C"/>
    <w:rsid w:val="604F4E8B"/>
    <w:rsid w:val="60EB4BB4"/>
    <w:rsid w:val="60F872D1"/>
    <w:rsid w:val="61736957"/>
    <w:rsid w:val="632F68AE"/>
    <w:rsid w:val="63984453"/>
    <w:rsid w:val="64F733FB"/>
    <w:rsid w:val="66D1457A"/>
    <w:rsid w:val="66DD4F9F"/>
    <w:rsid w:val="67535261"/>
    <w:rsid w:val="677D22DE"/>
    <w:rsid w:val="683223C2"/>
    <w:rsid w:val="6A012B78"/>
    <w:rsid w:val="6A527A52"/>
    <w:rsid w:val="6D4654C4"/>
    <w:rsid w:val="6E55366C"/>
    <w:rsid w:val="6E7361E8"/>
    <w:rsid w:val="6E7F693B"/>
    <w:rsid w:val="6F5B7016"/>
    <w:rsid w:val="6FEA24DA"/>
    <w:rsid w:val="700C3FC1"/>
    <w:rsid w:val="70C25205"/>
    <w:rsid w:val="715B3690"/>
    <w:rsid w:val="717A629B"/>
    <w:rsid w:val="728C7879"/>
    <w:rsid w:val="73247AB1"/>
    <w:rsid w:val="736600CA"/>
    <w:rsid w:val="740175A6"/>
    <w:rsid w:val="75E65D69"/>
    <w:rsid w:val="762A53DF"/>
    <w:rsid w:val="76EC6B38"/>
    <w:rsid w:val="78C31B1A"/>
    <w:rsid w:val="79551DAF"/>
    <w:rsid w:val="79DC6531"/>
    <w:rsid w:val="7A1545F8"/>
    <w:rsid w:val="7A752020"/>
    <w:rsid w:val="7AF67F85"/>
    <w:rsid w:val="7B01409D"/>
    <w:rsid w:val="7C7C0083"/>
    <w:rsid w:val="7E1846B6"/>
    <w:rsid w:val="7E527BC8"/>
    <w:rsid w:val="7E6A3164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571</Words>
  <Characters>766</Characters>
  <Lines>3</Lines>
  <Paragraphs>1</Paragraphs>
  <TotalTime>9</TotalTime>
  <ScaleCrop>false</ScaleCrop>
  <LinksUpToDate>false</LinksUpToDate>
  <CharactersWithSpaces>809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2024-10-16T08:01:22Z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33FFF4D4E39448FB917406FBD4C4F286_12</vt:lpwstr>
  </property>
</Properties>
</file>